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321.999999999998" w:type="dxa"/>
        <w:jc w:val="center"/>
        <w:tblLayout w:type="fixed"/>
        <w:tblLook w:val="0000"/>
      </w:tblPr>
      <w:tblGrid>
        <w:gridCol w:w="2164"/>
        <w:gridCol w:w="2810"/>
        <w:gridCol w:w="5348"/>
        <w:tblGridChange w:id="0">
          <w:tblGrid>
            <w:gridCol w:w="2164"/>
            <w:gridCol w:w="2810"/>
            <w:gridCol w:w="5348"/>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w:t>
            </w:r>
            <w:r w:rsidDel="00000000" w:rsidR="00000000" w:rsidRPr="00000000">
              <w:rPr>
                <w:rFonts w:ascii="Arial" w:cs="Arial" w:eastAsia="Arial" w:hAnsi="Arial"/>
                <w:b w:val="1"/>
                <w:bCs w:val="1"/>
                <w:rtl w:val="0"/>
              </w:rPr>
              <w:t xml:space="preserve">SUBSECRETARÍA</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DE </w:t>
            </w:r>
            <w:r w:rsidDel="00000000" w:rsidR="00000000" w:rsidRPr="00000000">
              <w:rPr>
                <w:rFonts w:ascii="Arial" w:cs="Arial" w:eastAsia="Arial" w:hAnsi="Arial"/>
                <w:b w:val="1"/>
                <w:bCs w:val="1"/>
                <w:rtl w:val="0"/>
              </w:rPr>
              <w:t xml:space="preserve">INFRAESTRUCTURA</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como profesional especializado en la Secretaría del Deporte y la Recreación del proyecto denominado Fortalecimiento de la planificación estratégica del servicio del deporte, recreación y la actividad física en Santiago de Cali BP - 26005398</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w:t>
            </w:r>
            <w:r w:rsidDel="00000000" w:rsidR="00000000" w:rsidRPr="00000000">
              <w:rPr>
                <w:rFonts w:ascii="Arial" w:cs="Arial" w:eastAsia="Arial" w:hAnsi="Arial"/>
                <w:rtl w:val="0"/>
              </w:rPr>
              <w:t xml:space="preserve">5</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067-2025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KRYSTHIAN DAVID RAMIREZ MUNEVAR</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LUIS FERNNADO MOLINA ROSERO</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1.143.990.693</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12.014.000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w:t>
            </w:r>
            <w:r w:rsidDel="00000000" w:rsidR="00000000" w:rsidRPr="00000000">
              <w:rPr>
                <w:rFonts w:ascii="Arial" w:cs="Arial" w:eastAsia="Arial" w:hAnsi="Arial"/>
                <w:rtl w:val="0"/>
              </w:rPr>
              <w:t xml:space="preserve">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w:t>
            </w:r>
            <w:r w:rsidDel="00000000" w:rsidR="00000000" w:rsidRPr="00000000">
              <w:rPr>
                <w:rFonts w:ascii="Arial" w:cs="Arial" w:eastAsia="Arial" w:hAnsi="Arial"/>
                <w:rtl w:val="0"/>
              </w:rPr>
              <w:t xml:space="preserve">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X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2.960.000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1077337242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1937635079</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18/NOV/2025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Oct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017"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(1)</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582"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432" w:right="64"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Realizar actividades de caracterización de la dinámica ciudadana en torno al deporte, la recreación y la actividad física.</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3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3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3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2. Realizar informes estadísticos, definición de variables e indicadores en las actividades e investigaciones integradas en el Observatorio del Deporte.</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3. Adelantar la articulación de conocimiento con entidades de la administración distrital y organizaciones del sector.</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4. Aportar y actualizar datos y cifras de satisfacción de los participantes de los servicios de la secretaría</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5. Las demás que le sean asignadas en desarrollo del objeto contractual.</w:t>
            </w:r>
          </w:p>
          <w:p w:rsidR="00000000" w:rsidDel="00000000" w:rsidP="00000000" w:rsidRDefault="00000000" w:rsidRPr="00000000" w14:paraId="00000058">
            <w:pPr>
              <w:jc w:val="both"/>
              <w:rPr>
                <w:rFonts w:ascii="Arial" w:cs="Arial" w:eastAsia="Arial" w:hAnsi="Arial"/>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A">
            <w:pPr>
              <w:jc w:val="both"/>
              <w:rPr>
                <w:rFonts w:ascii="Arial" w:cs="Arial" w:eastAsia="Arial" w:hAnsi="Arial"/>
              </w:rPr>
            </w:pPr>
            <w:r w:rsidDel="00000000" w:rsidR="00000000" w:rsidRPr="00000000">
              <w:rPr>
                <w:rFonts w:ascii="Arial" w:cs="Arial" w:eastAsia="Arial" w:hAnsi="Arial"/>
                <w:rtl w:val="0"/>
              </w:rPr>
              <w:t xml:space="preserve">1. Apoyé </w:t>
            </w:r>
            <w:r w:rsidDel="00000000" w:rsidR="00000000" w:rsidRPr="00000000">
              <w:rPr>
                <w:rFonts w:ascii="Arial" w:cs="Arial" w:eastAsia="Arial" w:hAnsi="Arial"/>
                <w:color w:val="000000"/>
                <w:rtl w:val="0"/>
              </w:rPr>
              <w:t xml:space="preserve">la logística para el análisis de la estimación de participantes de la Ciclovida, realizando los recorridos necesarios y brindando el soporte requerido para el adecuado desarrollo de la actividad. Este proceso permitió obtener insumos clave para la caracterización de la dinámica ciudadana en torno al deporte, la recreación y la actividad física. (Ver Anexo 1.1)</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Participé en la visita realizada por la Universidad Francisco José de Caldas, en la cual se socializó el tema de administración de escenarios deportivos. Durante esta actividad, recopiló información relevante para generar insumos que aportan a la definición de variables e indicadores en las investigaciones desarrolladas por el Observatorio del Deporte. (Ver Anexo 2.1)</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Participé en el Consejo Asesor del Deporte, aportando a los procesos de articulación de conocimiento con entidades de la administración distrital y organizaciones del sector. (Ver Anexo 3.1)</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Apoyé en la consolidación de los beneficiarios de los diferentes programas que tiene la Subsecretaría de Fomento en la Comuna 9, como insumo requerido para el diagnóstico de la comuna, a partir de la información registrada en el SIDER. (Ver Anexo 4.1)</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Participé en mesa de trabajo con el equipo del ODRAF en el que se llevó acabo la revisión de avance de las investigaciones y el plan de trabajo establecido. (Ver Anexo 5.1)</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71">
            <w:pPr>
              <w:tabs>
                <w:tab w:val="left" w:leader="none" w:pos="793"/>
              </w:tabs>
              <w:spacing w:before="1" w:line="276" w:lineRule="auto"/>
              <w:ind w:right="66"/>
              <w:jc w:val="both"/>
              <w:rPr>
                <w:rFonts w:ascii="Arial" w:cs="Arial" w:eastAsia="Arial" w:hAnsi="Arial"/>
              </w:rPr>
            </w:pPr>
            <w:hyperlink r:id="rId7">
              <w:r w:rsidDel="00000000" w:rsidR="00000000" w:rsidRPr="00000000">
                <w:rPr>
                  <w:rFonts w:ascii="Arial" w:cs="Arial" w:eastAsia="Arial" w:hAnsi="Arial"/>
                  <w:color w:val="0000ff"/>
                  <w:u w:val="single"/>
                  <w:rtl w:val="0"/>
                </w:rPr>
                <w:t xml:space="preserve">https://drive.google.com/drive/folders/1FJ1BHLNsVw-l8ikCJt5BfVq328LDfIJK?usp=drive_link</w:t>
              </w:r>
            </w:hyperlink>
            <w:r w:rsidDel="00000000" w:rsidR="00000000" w:rsidRPr="00000000">
              <w:rPr>
                <w:rFonts w:ascii="Arial" w:cs="Arial" w:eastAsia="Arial" w:hAnsi="Arial"/>
                <w:rtl w:val="0"/>
              </w:rPr>
              <w:t xml:space="preserve"> </w:t>
            </w:r>
          </w:p>
        </w:tc>
      </w:tr>
      <w:tr>
        <w:trPr>
          <w:cantSplit w:val="0"/>
          <w:trHeight w:val="82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41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357313" cy="695413"/>
                  <wp:effectExtent b="0" l="0" r="0" t="0"/>
                  <wp:docPr id="46709987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357313" cy="695413"/>
                          </a:xfrm>
                          <a:prstGeom prst="rect"/>
                          <a:ln/>
                        </pic:spPr>
                      </pic:pic>
                    </a:graphicData>
                  </a:graphic>
                </wp:inline>
              </w:drawing>
            </w:r>
            <w:r w:rsidDel="00000000" w:rsidR="00000000" w:rsidRPr="00000000">
              <w:rPr>
                <w:rtl w:val="0"/>
              </w:rPr>
            </w:r>
          </w:p>
        </w:tc>
      </w:tr>
      <w:tr>
        <w:trPr>
          <w:cantSplit w:val="0"/>
          <w:trHeight w:val="7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Fonts w:ascii="Arial" w:cs="Arial" w:eastAsia="Arial" w:hAnsi="Arial"/>
                <w:sz w:val="22"/>
                <w:szCs w:val="22"/>
                <w:rtl w:val="0"/>
              </w:rPr>
              <w:t xml:space="preserve">8</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w:t>
            </w:r>
            <w:r w:rsidDel="00000000" w:rsidR="00000000" w:rsidRPr="00000000">
              <w:rPr>
                <w:rFonts w:ascii="Arial" w:cs="Arial" w:eastAsia="Arial" w:hAnsi="Arial"/>
                <w:sz w:val="22"/>
                <w:szCs w:val="22"/>
                <w:rtl w:val="0"/>
              </w:rPr>
              <w:t xml:space="preserve">ov</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w:t>
            </w: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567"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360"/>
      </w:pPr>
      <w:rPr/>
    </w:lvl>
    <w:lvl w:ilvl="1">
      <w:start w:val="1"/>
      <w:numFmt w:val="lowerLetter"/>
      <w:lvlText w:val="%2."/>
      <w:lvlJc w:val="left"/>
      <w:pPr>
        <w:ind w:left="1152" w:hanging="360"/>
      </w:pPr>
      <w:rPr/>
    </w:lvl>
    <w:lvl w:ilvl="2">
      <w:start w:val="1"/>
      <w:numFmt w:val="lowerRoman"/>
      <w:lvlText w:val="%3."/>
      <w:lvlJc w:val="right"/>
      <w:pPr>
        <w:ind w:left="1872" w:hanging="180"/>
      </w:pPr>
      <w:rPr/>
    </w:lvl>
    <w:lvl w:ilvl="3">
      <w:start w:val="1"/>
      <w:numFmt w:val="decimal"/>
      <w:lvlText w:val="%4."/>
      <w:lvlJc w:val="left"/>
      <w:pPr>
        <w:ind w:left="2592" w:hanging="360"/>
      </w:pPr>
      <w:rPr/>
    </w:lvl>
    <w:lvl w:ilvl="4">
      <w:start w:val="1"/>
      <w:numFmt w:val="lowerLetter"/>
      <w:lvlText w:val="%5."/>
      <w:lvlJc w:val="left"/>
      <w:pPr>
        <w:ind w:left="3312" w:hanging="360"/>
      </w:pPr>
      <w:rPr/>
    </w:lvl>
    <w:lvl w:ilvl="5">
      <w:start w:val="1"/>
      <w:numFmt w:val="lowerRoman"/>
      <w:lvlText w:val="%6."/>
      <w:lvlJc w:val="right"/>
      <w:pPr>
        <w:ind w:left="4032" w:hanging="180"/>
      </w:pPr>
      <w:rPr/>
    </w:lvl>
    <w:lvl w:ilvl="6">
      <w:start w:val="1"/>
      <w:numFmt w:val="decimal"/>
      <w:lvlText w:val="%7."/>
      <w:lvlJc w:val="left"/>
      <w:pPr>
        <w:ind w:left="4752" w:hanging="360"/>
      </w:pPr>
      <w:rPr/>
    </w:lvl>
    <w:lvl w:ilvl="7">
      <w:start w:val="1"/>
      <w:numFmt w:val="lowerLetter"/>
      <w:lvlText w:val="%8."/>
      <w:lvlJc w:val="left"/>
      <w:pPr>
        <w:ind w:left="5472" w:hanging="360"/>
      </w:pPr>
      <w:rPr/>
    </w:lvl>
    <w:lvl w:ilvl="8">
      <w:start w:val="1"/>
      <w:numFmt w:val="lowerRoman"/>
      <w:lvlText w:val="%9."/>
      <w:lvlJc w:val="right"/>
      <w:pPr>
        <w:ind w:left="6192"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paragraph" w:styleId="p1" w:customStyle="1">
    <w:name w:val="p1"/>
    <w:basedOn w:val="Normal"/>
    <w:rsid w:val="00AE652E"/>
    <w:pPr>
      <w:widowControl w:val="1"/>
      <w:suppressAutoHyphens w:val="0"/>
      <w:textAlignment w:val="auto"/>
    </w:pPr>
    <w:rPr>
      <w:rFonts w:ascii="Arial" w:cs="Arial" w:eastAsia="Times New Roman" w:hAnsi="Arial"/>
      <w:color w:val="000000"/>
      <w:kern w:val="0"/>
      <w:sz w:val="18"/>
      <w:szCs w:val="18"/>
      <w:lang w:bidi="ar-SA" w:eastAsia="es-MX"/>
    </w:rPr>
  </w:style>
  <w:style w:type="character" w:styleId="Hipervnculo">
    <w:name w:val="Hyperlink"/>
    <w:basedOn w:val="Fuentedeprrafopredeter"/>
    <w:uiPriority w:val="99"/>
    <w:unhideWhenUsed w:val="1"/>
    <w:rsid w:val="00E03029"/>
    <w:rPr>
      <w:color w:val="0563c1" w:themeColor="hyperlink"/>
      <w:u w:val="single"/>
    </w:rPr>
  </w:style>
  <w:style w:type="character" w:styleId="Mencinsinresolver">
    <w:name w:val="Unresolved Mention"/>
    <w:basedOn w:val="Fuentedeprrafopredeter"/>
    <w:uiPriority w:val="99"/>
    <w:semiHidden w:val="1"/>
    <w:unhideWhenUsed w:val="1"/>
    <w:rsid w:val="00E03029"/>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FJ1BHLNsVw-l8ikCJt5BfVq328LDfIJK?usp=driv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ApCkUoOkOK8QGYUPNPMyd7vyIQ==">CgMxLjA4AHIhMUtENGJJU1hSblB4d2p5azVBZG03b1R1UGJVVWQ4VDB4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